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ED" w:rsidRPr="008D51EE" w:rsidRDefault="00C00352" w:rsidP="00217EE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50800</wp:posOffset>
                </wp:positionV>
                <wp:extent cx="2708275" cy="1207135"/>
                <wp:effectExtent l="19050" t="57150" r="73025" b="6921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8275" cy="1207135"/>
                          <a:chOff x="0" y="0"/>
                          <a:chExt cx="2708275" cy="108648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43132" y="0"/>
                            <a:ext cx="2656205" cy="108648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softEdge rad="127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89710"/>
                            <a:ext cx="2708275" cy="948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EED" w:rsidRPr="00A570B9" w:rsidRDefault="00217EED" w:rsidP="00217EED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570B9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生</w:t>
                              </w:r>
                              <w:proofErr w:type="gramStart"/>
                              <w:r w:rsidRPr="00A570B9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醫</w:t>
                              </w:r>
                              <w:proofErr w:type="gramEnd"/>
                              <w:r w:rsidRPr="00A570B9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與化學感測器技術產學聯盟</w:t>
                              </w:r>
                            </w:p>
                            <w:p w:rsidR="00217EED" w:rsidRPr="00A570B9" w:rsidRDefault="00217EED" w:rsidP="00217EED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570B9"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  <w:t>Biomedical and chemical sensor technology industry-academic consortium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198.2pt;margin-top:4pt;width:213.25pt;height:95.05pt;z-index:251660288;mso-height-relative:margin" coordsize="27082,1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">
                <v:roundrect id="圓角矩形 1" o:spid="_x0000_s1027" style="position:absolute;left:431;width:26562;height:108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HAL8A&#10;AADaAAAADwAAAGRycy9kb3ducmV2LnhtbERPTYvCMBC9L/gfwgje1lSFRapRRBQW9uLWZc9jMzbV&#10;ZlKaaOO/N8LCnobH+5zlOtpG3KnztWMFk3EGgrh0uuZKwc9x/z4H4QOyxsYxKXiQh/Vq8LbEXLue&#10;v+lehEqkEPY5KjAhtLmUvjRk0Y9dS5y4s+sshgS7SuoO+xRuGznNsg9psebUYLClraHyWtysAp4U&#10;p+Nl9rU7xPjb9JdHNjf7nVKjYdwsQASK4V/85/7Ua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34cAvwAAANoAAAAPAAAAAAAAAAAAAAAAAJgCAABkcnMvZG93bnJl&#10;di54bWxQSwUGAAAAAAQABAD1AAAAhAMAAAAA&#10;" fillcolor="yellow" strokecolor="#bfbfbf [24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8" type="#_x0000_t202" style="position:absolute;top:897;width:27082;height:9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217EED" w:rsidRPr="00A570B9" w:rsidRDefault="00217EED" w:rsidP="00217EED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A570B9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生</w:t>
                        </w:r>
                        <w:proofErr w:type="gramStart"/>
                        <w:r w:rsidRPr="00A570B9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醫</w:t>
                        </w:r>
                        <w:proofErr w:type="gramEnd"/>
                        <w:r w:rsidRPr="00A570B9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與化學感測器技術產學聯盟</w:t>
                        </w:r>
                      </w:p>
                      <w:p w:rsidR="00217EED" w:rsidRPr="00A570B9" w:rsidRDefault="00217EED" w:rsidP="00217EED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A570B9"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</w:rPr>
                          <w:t>Biomedical and chemical sensor technology industry-academic consortium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7EED" w:rsidRPr="00DC40A8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2482215" cy="1266190"/>
            <wp:effectExtent l="0" t="0" r="0" b="0"/>
            <wp:docPr id="18" name="圖片 4" descr="http://mvp318.104web.com.tw/cetacean/ezcatfiles/mvp318/img/img/2706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p318.104web.com.tw/cetacean/ezcatfiles/mvp318/img/img/27061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52" w:rsidRPr="00B435F3" w:rsidRDefault="00C00352" w:rsidP="00C00352">
      <w:pPr>
        <w:jc w:val="center"/>
        <w:rPr>
          <w:sz w:val="40"/>
          <w:szCs w:val="40"/>
        </w:rPr>
      </w:pPr>
      <w:r w:rsidRPr="0004087E">
        <w:rPr>
          <w:rFonts w:hint="eastAsia"/>
          <w:sz w:val="40"/>
          <w:szCs w:val="40"/>
        </w:rPr>
        <w:t>台灣化學感測器</w:t>
      </w:r>
      <w:r>
        <w:rPr>
          <w:rFonts w:hint="eastAsia"/>
          <w:sz w:val="40"/>
          <w:szCs w:val="40"/>
        </w:rPr>
        <w:t>科技</w:t>
      </w:r>
      <w:r w:rsidRPr="0004087E">
        <w:rPr>
          <w:rFonts w:hint="eastAsia"/>
          <w:sz w:val="40"/>
          <w:szCs w:val="40"/>
        </w:rPr>
        <w:t>協會</w:t>
      </w:r>
      <w:r>
        <w:rPr>
          <w:rFonts w:hint="eastAsia"/>
          <w:sz w:val="40"/>
          <w:szCs w:val="40"/>
        </w:rPr>
        <w:t>-</w:t>
      </w:r>
      <w:bookmarkStart w:id="0" w:name="_GoBack"/>
      <w:bookmarkEnd w:id="0"/>
      <w:r w:rsidRPr="0004087E">
        <w:rPr>
          <w:rFonts w:hint="eastAsia"/>
          <w:sz w:val="40"/>
          <w:szCs w:val="40"/>
        </w:rPr>
        <w:t>小聯盟</w:t>
      </w:r>
      <w:r>
        <w:rPr>
          <w:rFonts w:hint="eastAsia"/>
          <w:sz w:val="40"/>
          <w:szCs w:val="40"/>
        </w:rPr>
        <w:t>產業</w:t>
      </w:r>
      <w:r w:rsidRPr="0004087E">
        <w:rPr>
          <w:rFonts w:hint="eastAsia"/>
          <w:sz w:val="40"/>
          <w:szCs w:val="40"/>
        </w:rPr>
        <w:t>會員資料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5745"/>
      </w:tblGrid>
      <w:tr w:rsidR="00C00352" w:rsidRPr="00342014" w:rsidTr="001B5929">
        <w:trPr>
          <w:trHeight w:val="803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公司</w:t>
            </w:r>
            <w:r w:rsidRPr="00342014">
              <w:rPr>
                <w:rFonts w:ascii="Times New Roman" w:eastAsia="微軟正黑體" w:hAnsi="Times New Roman" w:cs="Times New Roman"/>
                <w:szCs w:val="24"/>
              </w:rPr>
              <w:t>名稱</w:t>
            </w:r>
          </w:p>
        </w:tc>
        <w:tc>
          <w:tcPr>
            <w:tcW w:w="5745" w:type="dxa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00352" w:rsidRPr="00342014" w:rsidTr="001B5929">
        <w:trPr>
          <w:trHeight w:val="493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公司網站</w:t>
            </w:r>
          </w:p>
        </w:tc>
        <w:tc>
          <w:tcPr>
            <w:tcW w:w="5745" w:type="dxa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00352" w:rsidRPr="00342014" w:rsidTr="001B5929">
        <w:trPr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C00352" w:rsidRPr="00342014" w:rsidRDefault="00C00352" w:rsidP="001B5929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342014">
              <w:rPr>
                <w:rFonts w:ascii="Times New Roman" w:eastAsia="微軟正黑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5745" w:type="dxa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00352" w:rsidRPr="00342014" w:rsidTr="001B5929">
        <w:trPr>
          <w:trHeight w:val="712"/>
          <w:jc w:val="center"/>
        </w:trPr>
        <w:tc>
          <w:tcPr>
            <w:tcW w:w="2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聯絡人姓名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(</w:t>
            </w:r>
            <w:r w:rsidRPr="00342014">
              <w:rPr>
                <w:rFonts w:ascii="Times New Roman" w:eastAsia="微軟正黑體" w:hAnsi="Times New Roman" w:cs="Times New Roman"/>
                <w:szCs w:val="24"/>
              </w:rPr>
              <w:t>E-mail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00352" w:rsidRPr="00342014" w:rsidTr="001B5929">
        <w:trPr>
          <w:trHeight w:val="728"/>
          <w:jc w:val="center"/>
        </w:trPr>
        <w:tc>
          <w:tcPr>
            <w:tcW w:w="27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352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342014">
              <w:rPr>
                <w:rFonts w:ascii="Times New Roman" w:eastAsia="微軟正黑體" w:hAnsi="Times New Roman" w:cs="Times New Roman"/>
                <w:szCs w:val="24"/>
              </w:rPr>
              <w:t>辦公室電話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手機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00352" w:rsidRPr="00342014" w:rsidTr="001B5929">
        <w:trPr>
          <w:trHeight w:val="438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產業公司感興趣之合作項目</w:t>
            </w:r>
          </w:p>
        </w:tc>
        <w:tc>
          <w:tcPr>
            <w:tcW w:w="5745" w:type="dxa"/>
            <w:vAlign w:val="center"/>
          </w:tcPr>
          <w:tbl>
            <w:tblPr>
              <w:tblW w:w="532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719"/>
              <w:gridCol w:w="3809"/>
            </w:tblGrid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請勾選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分類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Electrochemical/Electrical biosensors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Amperometry</w:t>
                  </w:r>
                  <w:proofErr w:type="spellEnd"/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Potentiometry</w:t>
                  </w:r>
                  <w:proofErr w:type="spellEnd"/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Impedance &amp; conductivity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Field effect transistors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Scanning electrochemical microscopy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Optical biosensors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Chemiluminescence</w:t>
                  </w:r>
                  <w:proofErr w:type="spellEnd"/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Colorimetry</w:t>
                  </w:r>
                  <w:proofErr w:type="spellEnd"/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Electrochemiluminescence</w:t>
                  </w:r>
                  <w:proofErr w:type="spellEnd"/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Fluorescence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Interferometry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2.6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Photodynamic therapy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2.7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Surface-enhanced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raman</w:t>
                  </w:r>
                  <w:proofErr w:type="spellEnd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scattering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2.8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Surface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plasmon</w:t>
                  </w:r>
                  <w:proofErr w:type="spellEnd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resonance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2.9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Light addressable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potentiometry</w:t>
                  </w:r>
                  <w:proofErr w:type="spellEnd"/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2.10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Light-scattering spectroscopy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2.11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Near infrared spectroscopy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Piezoelectric biosensors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3.1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Piezoelectric devices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3.2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Quartz crystal microbalance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3.3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Surface acoustic wave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Thermometric biosensors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Magnetic biosensors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Targets/samples/materials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Oxygen (BOD, COD)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pH and ions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Glucose and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carbonhydrates</w:t>
                  </w:r>
                  <w:proofErr w:type="spellEnd"/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Nucleic acid (DNA, RNA,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aptamers</w:t>
                  </w:r>
                  <w:proofErr w:type="spellEnd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Amino acid and protein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6.6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Lipid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6.7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Enzyme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6.8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Whole cells or tissue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6.9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Molecular imprinting</w:t>
                  </w:r>
                </w:p>
              </w:tc>
            </w:tr>
            <w:tr w:rsidR="00C00352" w:rsidRPr="004C7510" w:rsidTr="001B5929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Default="00C00352" w:rsidP="001B592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6.10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0352" w:rsidRPr="004C7510" w:rsidRDefault="00C00352" w:rsidP="001B592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Other (food, energy, and environment related </w:t>
                  </w:r>
                  <w:proofErr w:type="spellStart"/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sensings</w:t>
                  </w:r>
                  <w:proofErr w:type="spellEnd"/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</w:tbl>
          <w:p w:rsidR="00C00352" w:rsidRPr="00342014" w:rsidRDefault="00C00352" w:rsidP="001B5929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00352" w:rsidRPr="0076088D" w:rsidTr="001B5929">
        <w:trPr>
          <w:trHeight w:val="1756"/>
          <w:jc w:val="center"/>
        </w:trPr>
        <w:tc>
          <w:tcPr>
            <w:tcW w:w="2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352" w:rsidRPr="00342014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微軟正黑體" w:hAnsi="Times New Roman" w:cs="Times New Roman" w:hint="eastAsia"/>
                <w:szCs w:val="24"/>
              </w:rPr>
              <w:lastRenderedPageBreak/>
              <w:t>個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Cs w:val="24"/>
              </w:rPr>
              <w:t>資同意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C00352" w:rsidRPr="00363164" w:rsidRDefault="00C00352" w:rsidP="001B5929">
            <w:pPr>
              <w:rPr>
                <w:rFonts w:ascii="Times New Roman" w:eastAsia="微軟正黑體" w:hAnsi="Times New Roman" w:cs="Times New Roman"/>
                <w:sz w:val="22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</w:rPr>
              <w:t>□</w:t>
            </w:r>
            <w:r w:rsidRPr="00363164">
              <w:rPr>
                <w:rFonts w:ascii="Times New Roman" w:eastAsia="微軟正黑體" w:hAnsi="Times New Roman" w:cs="Times New Roman" w:hint="eastAsia"/>
                <w:sz w:val="22"/>
              </w:rPr>
              <w:t>是，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同意此資料供台灣化學感測器科技協會使用</w:t>
            </w:r>
          </w:p>
          <w:p w:rsidR="00C00352" w:rsidRPr="006B7C93" w:rsidRDefault="00C00352" w:rsidP="001B5929">
            <w:pPr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</w:rPr>
              <w:t>□</w:t>
            </w:r>
            <w:r w:rsidRPr="00363164">
              <w:rPr>
                <w:rFonts w:ascii="Times New Roman" w:eastAsia="微軟正黑體" w:hAnsi="Times New Roman" w:cs="Times New Roman" w:hint="eastAsia"/>
                <w:sz w:val="22"/>
              </w:rPr>
              <w:t>是，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同意此資料供</w:t>
            </w:r>
            <w:r w:rsidRPr="007F579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7F579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7F579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與化學感測器技術產學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聯盟計畫使用</w:t>
            </w:r>
          </w:p>
        </w:tc>
      </w:tr>
      <w:tr w:rsidR="00C00352" w:rsidRPr="0076088D" w:rsidTr="001B5929">
        <w:trPr>
          <w:trHeight w:val="1108"/>
          <w:jc w:val="center"/>
        </w:trPr>
        <w:tc>
          <w:tcPr>
            <w:tcW w:w="27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352" w:rsidRDefault="00C00352" w:rsidP="001B592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入會意願書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C00352" w:rsidRPr="00363164" w:rsidRDefault="00C00352" w:rsidP="001B5929">
            <w:pPr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</w:rPr>
              <w:t>□</w:t>
            </w:r>
            <w:r w:rsidRPr="00363164">
              <w:rPr>
                <w:rFonts w:ascii="Times New Roman" w:eastAsia="微軟正黑體" w:hAnsi="Times New Roman" w:cs="Times New Roman" w:hint="eastAsia"/>
                <w:sz w:val="22"/>
              </w:rPr>
              <w:t>是，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同意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支付年費以供台灣化學感測器科技協會之</w:t>
            </w:r>
            <w:r w:rsidRPr="007F579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7F579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7F579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與化學感測器技術產學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聯盟計畫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運作</w:t>
            </w:r>
            <w:r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使用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  <w:vertAlign w:val="superscript"/>
              </w:rPr>
              <w:t>註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  <w:vertAlign w:val="superscript"/>
              </w:rPr>
              <w:t>1, 2</w:t>
            </w:r>
          </w:p>
        </w:tc>
      </w:tr>
    </w:tbl>
    <w:p w:rsidR="00C00352" w:rsidRDefault="00C00352" w:rsidP="00C00352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 xml:space="preserve">1. </w:t>
      </w:r>
    </w:p>
    <w:p w:rsidR="00C00352" w:rsidRDefault="00C00352" w:rsidP="00C00352">
      <w:r>
        <w:rPr>
          <w:rFonts w:hint="eastAsia"/>
        </w:rPr>
        <w:t>入會收費標準與團體會員優惠請見</w:t>
      </w:r>
      <w:r>
        <w:rPr>
          <w:rFonts w:hint="eastAsia"/>
        </w:rPr>
        <w:t>ACST</w:t>
      </w:r>
      <w:r>
        <w:rPr>
          <w:rFonts w:hint="eastAsia"/>
        </w:rPr>
        <w:t>會員申請表</w:t>
      </w:r>
      <w:r>
        <w:rPr>
          <w:rFonts w:hint="eastAsia"/>
        </w:rPr>
        <w:t>(</w:t>
      </w:r>
      <w:r>
        <w:rPr>
          <w:rFonts w:hint="eastAsia"/>
        </w:rPr>
        <w:t>團體</w:t>
      </w:r>
      <w:r>
        <w:rPr>
          <w:rFonts w:hint="eastAsia"/>
        </w:rPr>
        <w:t>)</w:t>
      </w:r>
      <w:r>
        <w:rPr>
          <w:rFonts w:hint="eastAsia"/>
        </w:rPr>
        <w:t>，可自下列網址下載</w:t>
      </w:r>
      <w:r>
        <w:rPr>
          <w:rFonts w:hint="eastAsia"/>
        </w:rPr>
        <w:t>https://sites.google.com/site/acsttwwebsite/our-mission/4</w:t>
      </w:r>
      <w:r>
        <w:rPr>
          <w:rFonts w:hint="eastAsia"/>
        </w:rPr>
        <w:t>。</w:t>
      </w:r>
    </w:p>
    <w:p w:rsidR="00C00352" w:rsidRDefault="00C00352" w:rsidP="00C00352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 xml:space="preserve">2. </w:t>
      </w:r>
    </w:p>
    <w:p w:rsidR="00C00352" w:rsidRPr="00311E50" w:rsidRDefault="00C00352" w:rsidP="00C00352">
      <w:r>
        <w:rPr>
          <w:rFonts w:hint="eastAsia"/>
        </w:rPr>
        <w:t>僅加入聯盟之新會員</w:t>
      </w:r>
      <w:r>
        <w:rPr>
          <w:rFonts w:hint="eastAsia"/>
        </w:rPr>
        <w:t>(</w:t>
      </w:r>
      <w:r>
        <w:rPr>
          <w:rFonts w:hint="eastAsia"/>
        </w:rPr>
        <w:t>含個人與團體</w:t>
      </w:r>
      <w:r>
        <w:rPr>
          <w:rFonts w:hint="eastAsia"/>
        </w:rPr>
        <w:t>)</w:t>
      </w:r>
      <w:r>
        <w:rPr>
          <w:rFonts w:hint="eastAsia"/>
        </w:rPr>
        <w:t>，皆可享</w:t>
      </w:r>
      <w:r>
        <w:rPr>
          <w:rFonts w:ascii="新細明體" w:hAnsi="新細明體" w:hint="eastAsia"/>
        </w:rPr>
        <w:t>第一年</w:t>
      </w:r>
      <w:r>
        <w:rPr>
          <w:rFonts w:hint="eastAsia"/>
        </w:rPr>
        <w:t>單人次免費參加聯盟舉辦所有活動與會議之與會權</w:t>
      </w:r>
      <w:r>
        <w:rPr>
          <w:rFonts w:hint="eastAsia"/>
        </w:rPr>
        <w:t>(</w:t>
      </w:r>
      <w:r>
        <w:rPr>
          <w:rFonts w:hint="eastAsia"/>
        </w:rPr>
        <w:t>但不含會議資料、餐點、會員投票及其他涉及完整會員權益之折扣</w:t>
      </w:r>
      <w:r>
        <w:rPr>
          <w:rFonts w:hint="eastAsia"/>
        </w:rPr>
        <w:t>)</w:t>
      </w:r>
      <w:r>
        <w:rPr>
          <w:rFonts w:hint="eastAsia"/>
        </w:rPr>
        <w:t>。意者詳情請洽各分區負責人</w:t>
      </w:r>
      <w:r>
        <w:rPr>
          <w:rFonts w:hint="eastAsia"/>
        </w:rPr>
        <w:t>(</w:t>
      </w:r>
      <w:r w:rsidRPr="00805F29">
        <w:t>https://sites.google.com/site/acsttwwebsite/industry-academia-cloud/members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21A3F" w:rsidRPr="00C00352" w:rsidRDefault="00121A3F" w:rsidP="00603A68">
      <w:pPr>
        <w:jc w:val="center"/>
        <w:rPr>
          <w:szCs w:val="24"/>
        </w:rPr>
      </w:pPr>
    </w:p>
    <w:sectPr w:rsidR="00121A3F" w:rsidRPr="00C00352" w:rsidSect="00EC3FA3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A4" w:rsidRDefault="005F51A4" w:rsidP="00DD5255">
      <w:r>
        <w:separator/>
      </w:r>
    </w:p>
  </w:endnote>
  <w:endnote w:type="continuationSeparator" w:id="0">
    <w:p w:rsidR="005F51A4" w:rsidRDefault="005F51A4" w:rsidP="00DD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SMincho-W7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5" w:rsidRDefault="006B018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-19464</wp:posOffset>
          </wp:positionH>
          <wp:positionV relativeFrom="paragraph">
            <wp:posOffset>52125</wp:posOffset>
          </wp:positionV>
          <wp:extent cx="609103" cy="357809"/>
          <wp:effectExtent l="19050" t="0" r="497" b="0"/>
          <wp:wrapNone/>
          <wp:docPr id="16" name="圖片 0" descr="AC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T.jpg"/>
                  <pic:cNvPicPr/>
                </pic:nvPicPr>
                <pic:blipFill>
                  <a:blip r:embed="rId1" cstate="print">
                    <a:clrChange>
                      <a:clrFrom>
                        <a:srgbClr val="F4F5F7"/>
                      </a:clrFrom>
                      <a:clrTo>
                        <a:srgbClr val="F4F5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03" cy="35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</w:rPr>
      <w:t xml:space="preserve">         </w:t>
    </w:r>
    <w:r w:rsidR="00DD5255" w:rsidRPr="00DD5255">
      <w:rPr>
        <w:rFonts w:ascii="標楷體" w:eastAsia="標楷體" w:hAnsi="標楷體" w:hint="eastAsia"/>
      </w:rPr>
      <w:t>台灣化學感測器科技協會</w:t>
    </w:r>
    <w:r w:rsidR="00DD5255">
      <w:rPr>
        <w:rFonts w:asciiTheme="majorHAnsi" w:hAnsiTheme="majorHAnsi"/>
      </w:rPr>
      <w:ptab w:relativeTo="margin" w:alignment="right" w:leader="none"/>
    </w:r>
    <w:r w:rsidR="00DD5255" w:rsidRPr="00DD5255">
      <w:rPr>
        <w:rFonts w:ascii="Times New Roman" w:eastAsia="標楷體" w:hAnsi="標楷體" w:cs="Times New Roman"/>
        <w:lang w:val="zh-TW"/>
      </w:rPr>
      <w:t>頁</w:t>
    </w:r>
    <w:r w:rsidR="00DD5255" w:rsidRPr="00DD5255">
      <w:rPr>
        <w:rFonts w:ascii="Times New Roman" w:eastAsia="標楷體" w:hAnsi="Times New Roman" w:cs="Times New Roman"/>
        <w:lang w:val="zh-TW"/>
      </w:rPr>
      <w:t xml:space="preserve"> </w:t>
    </w:r>
    <w:r w:rsidR="004072FE" w:rsidRPr="00DD5255">
      <w:rPr>
        <w:rFonts w:ascii="Times New Roman" w:eastAsia="標楷體" w:hAnsi="Times New Roman" w:cs="Times New Roman"/>
      </w:rPr>
      <w:fldChar w:fldCharType="begin"/>
    </w:r>
    <w:r w:rsidR="00DD5255" w:rsidRPr="00DD5255">
      <w:rPr>
        <w:rFonts w:ascii="Times New Roman" w:eastAsia="標楷體" w:hAnsi="Times New Roman" w:cs="Times New Roman"/>
      </w:rPr>
      <w:instrText xml:space="preserve"> PAGE   \* MERGEFORMAT </w:instrText>
    </w:r>
    <w:r w:rsidR="004072FE" w:rsidRPr="00DD5255">
      <w:rPr>
        <w:rFonts w:ascii="Times New Roman" w:eastAsia="標楷體" w:hAnsi="Times New Roman" w:cs="Times New Roman"/>
      </w:rPr>
      <w:fldChar w:fldCharType="separate"/>
    </w:r>
    <w:r w:rsidR="00035042" w:rsidRPr="00035042">
      <w:rPr>
        <w:rFonts w:ascii="Times New Roman" w:eastAsia="標楷體" w:hAnsi="Times New Roman" w:cs="Times New Roman"/>
        <w:noProof/>
        <w:lang w:val="zh-TW"/>
      </w:rPr>
      <w:t>1</w:t>
    </w:r>
    <w:r w:rsidR="004072FE" w:rsidRPr="00DD5255">
      <w:rPr>
        <w:rFonts w:ascii="Times New Roman" w:eastAsia="標楷體" w:hAnsi="Times New Roman" w:cs="Times New Roman"/>
      </w:rPr>
      <w:fldChar w:fldCharType="end"/>
    </w:r>
  </w:p>
  <w:p w:rsidR="00DD5255" w:rsidRDefault="00DD5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A4" w:rsidRDefault="005F51A4" w:rsidP="00DD5255">
      <w:r>
        <w:separator/>
      </w:r>
    </w:p>
  </w:footnote>
  <w:footnote w:type="continuationSeparator" w:id="0">
    <w:p w:rsidR="005F51A4" w:rsidRDefault="005F51A4" w:rsidP="00DD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C84"/>
    <w:multiLevelType w:val="hybridMultilevel"/>
    <w:tmpl w:val="AB8463C0"/>
    <w:lvl w:ilvl="0" w:tplc="01A45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C5606A"/>
    <w:multiLevelType w:val="hybridMultilevel"/>
    <w:tmpl w:val="DE7AA7AC"/>
    <w:lvl w:ilvl="0" w:tplc="E3AAAA0C">
      <w:start w:val="1"/>
      <w:numFmt w:val="decimal"/>
      <w:lvlText w:val="(%1)"/>
      <w:lvlJc w:val="left"/>
      <w:pPr>
        <w:ind w:left="362" w:hanging="360"/>
      </w:pPr>
      <w:rPr>
        <w:rFonts w:asciiTheme="minorHAnsi" w:eastAsia="微軟正黑體" w:hAnsiTheme="minorHAnsi" w:cstheme="minorBidi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22CB0C79"/>
    <w:multiLevelType w:val="hybridMultilevel"/>
    <w:tmpl w:val="86643E1C"/>
    <w:lvl w:ilvl="0" w:tplc="6C126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4B10E5"/>
    <w:multiLevelType w:val="hybridMultilevel"/>
    <w:tmpl w:val="75DE2EDE"/>
    <w:lvl w:ilvl="0" w:tplc="FC62CE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932CE1"/>
    <w:multiLevelType w:val="hybridMultilevel"/>
    <w:tmpl w:val="B3D8ECCE"/>
    <w:lvl w:ilvl="0" w:tplc="C254A8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EF7953"/>
    <w:multiLevelType w:val="hybridMultilevel"/>
    <w:tmpl w:val="517EE844"/>
    <w:lvl w:ilvl="0" w:tplc="C0E21342">
      <w:start w:val="1"/>
      <w:numFmt w:val="decimal"/>
      <w:lvlText w:val="(%1)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464CE0"/>
    <w:multiLevelType w:val="hybridMultilevel"/>
    <w:tmpl w:val="DF405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6A"/>
    <w:rsid w:val="00014532"/>
    <w:rsid w:val="00017875"/>
    <w:rsid w:val="00035042"/>
    <w:rsid w:val="00072708"/>
    <w:rsid w:val="000815D4"/>
    <w:rsid w:val="000D3EE6"/>
    <w:rsid w:val="000D4E02"/>
    <w:rsid w:val="001043AD"/>
    <w:rsid w:val="00121A3F"/>
    <w:rsid w:val="00131602"/>
    <w:rsid w:val="00171D32"/>
    <w:rsid w:val="0017416F"/>
    <w:rsid w:val="001C7094"/>
    <w:rsid w:val="00204F06"/>
    <w:rsid w:val="00217EED"/>
    <w:rsid w:val="0025225E"/>
    <w:rsid w:val="002560EC"/>
    <w:rsid w:val="0028616A"/>
    <w:rsid w:val="0029284A"/>
    <w:rsid w:val="002B0865"/>
    <w:rsid w:val="002F048A"/>
    <w:rsid w:val="003261BA"/>
    <w:rsid w:val="003313A6"/>
    <w:rsid w:val="003B49B7"/>
    <w:rsid w:val="003D02F1"/>
    <w:rsid w:val="004072FE"/>
    <w:rsid w:val="00427BB8"/>
    <w:rsid w:val="00487344"/>
    <w:rsid w:val="004A682A"/>
    <w:rsid w:val="0058604C"/>
    <w:rsid w:val="005873F7"/>
    <w:rsid w:val="005A7ACD"/>
    <w:rsid w:val="005F51A4"/>
    <w:rsid w:val="00603A68"/>
    <w:rsid w:val="00657299"/>
    <w:rsid w:val="006B018C"/>
    <w:rsid w:val="006C1E67"/>
    <w:rsid w:val="006E7FBC"/>
    <w:rsid w:val="006F0250"/>
    <w:rsid w:val="007102ED"/>
    <w:rsid w:val="007F3AEF"/>
    <w:rsid w:val="008000EA"/>
    <w:rsid w:val="00827E24"/>
    <w:rsid w:val="00830FE6"/>
    <w:rsid w:val="00855C86"/>
    <w:rsid w:val="00867A7C"/>
    <w:rsid w:val="00877B2B"/>
    <w:rsid w:val="008A1BB4"/>
    <w:rsid w:val="00914D1A"/>
    <w:rsid w:val="0091694B"/>
    <w:rsid w:val="009208CC"/>
    <w:rsid w:val="00965354"/>
    <w:rsid w:val="00A274E8"/>
    <w:rsid w:val="00A33EB4"/>
    <w:rsid w:val="00A51483"/>
    <w:rsid w:val="00AA5E0D"/>
    <w:rsid w:val="00AE0037"/>
    <w:rsid w:val="00AF65D9"/>
    <w:rsid w:val="00B2476D"/>
    <w:rsid w:val="00BA6E07"/>
    <w:rsid w:val="00BE4326"/>
    <w:rsid w:val="00BF3B20"/>
    <w:rsid w:val="00C00352"/>
    <w:rsid w:val="00C05A1A"/>
    <w:rsid w:val="00C0662C"/>
    <w:rsid w:val="00CC3A00"/>
    <w:rsid w:val="00CD3ABC"/>
    <w:rsid w:val="00CD54A8"/>
    <w:rsid w:val="00DC16ED"/>
    <w:rsid w:val="00DD5255"/>
    <w:rsid w:val="00DF02D8"/>
    <w:rsid w:val="00E04CB9"/>
    <w:rsid w:val="00E3163C"/>
    <w:rsid w:val="00E4684B"/>
    <w:rsid w:val="00E52D90"/>
    <w:rsid w:val="00EB28F9"/>
    <w:rsid w:val="00EC3FA3"/>
    <w:rsid w:val="00F07FCC"/>
    <w:rsid w:val="00F77804"/>
    <w:rsid w:val="00FE3E94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6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8616A"/>
    <w:rPr>
      <w:b/>
      <w:bCs/>
    </w:rPr>
  </w:style>
  <w:style w:type="character" w:customStyle="1" w:styleId="apple-converted-space">
    <w:name w:val="apple-converted-space"/>
    <w:basedOn w:val="a0"/>
    <w:rsid w:val="0028616A"/>
  </w:style>
  <w:style w:type="table" w:styleId="a4">
    <w:name w:val="Table Grid"/>
    <w:basedOn w:val="a1"/>
    <w:uiPriority w:val="59"/>
    <w:rsid w:val="00EC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2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2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52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121A3F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121A3F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121A3F"/>
    <w:pPr>
      <w:widowControl w:val="0"/>
      <w:autoSpaceDE w:val="0"/>
      <w:autoSpaceDN w:val="0"/>
      <w:adjustRightInd w:val="0"/>
    </w:pPr>
    <w:rPr>
      <w:rFonts w:ascii="DFHSMincho-W7" w:eastAsia="DFHSMincho-W7" w:hAnsi="Times New Roman" w:cs="DFHSMincho-W7"/>
      <w:color w:val="000000"/>
      <w:kern w:val="0"/>
      <w:szCs w:val="24"/>
    </w:rPr>
  </w:style>
  <w:style w:type="character" w:styleId="ad">
    <w:name w:val="Hyperlink"/>
    <w:basedOn w:val="a0"/>
    <w:uiPriority w:val="99"/>
    <w:unhideWhenUsed/>
    <w:rsid w:val="00A51483"/>
    <w:rPr>
      <w:color w:val="0000FF"/>
      <w:u w:val="single"/>
    </w:rPr>
  </w:style>
  <w:style w:type="character" w:customStyle="1" w:styleId="team1">
    <w:name w:val="team1"/>
    <w:basedOn w:val="a0"/>
    <w:rsid w:val="003B49B7"/>
  </w:style>
  <w:style w:type="character" w:customStyle="1" w:styleId="apple-style-span">
    <w:name w:val="apple-style-span"/>
    <w:basedOn w:val="a0"/>
    <w:rsid w:val="003B49B7"/>
  </w:style>
  <w:style w:type="paragraph" w:styleId="ae">
    <w:name w:val="List Paragraph"/>
    <w:basedOn w:val="a"/>
    <w:uiPriority w:val="34"/>
    <w:qFormat/>
    <w:rsid w:val="002928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6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8616A"/>
    <w:rPr>
      <w:b/>
      <w:bCs/>
    </w:rPr>
  </w:style>
  <w:style w:type="character" w:customStyle="1" w:styleId="apple-converted-space">
    <w:name w:val="apple-converted-space"/>
    <w:basedOn w:val="a0"/>
    <w:rsid w:val="0028616A"/>
  </w:style>
  <w:style w:type="table" w:styleId="a4">
    <w:name w:val="Table Grid"/>
    <w:basedOn w:val="a1"/>
    <w:uiPriority w:val="59"/>
    <w:rsid w:val="00EC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2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2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52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121A3F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121A3F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121A3F"/>
    <w:pPr>
      <w:widowControl w:val="0"/>
      <w:autoSpaceDE w:val="0"/>
      <w:autoSpaceDN w:val="0"/>
      <w:adjustRightInd w:val="0"/>
    </w:pPr>
    <w:rPr>
      <w:rFonts w:ascii="DFHSMincho-W7" w:eastAsia="DFHSMincho-W7" w:hAnsi="Times New Roman" w:cs="DFHSMincho-W7"/>
      <w:color w:val="000000"/>
      <w:kern w:val="0"/>
      <w:szCs w:val="24"/>
    </w:rPr>
  </w:style>
  <w:style w:type="character" w:styleId="ad">
    <w:name w:val="Hyperlink"/>
    <w:basedOn w:val="a0"/>
    <w:uiPriority w:val="99"/>
    <w:unhideWhenUsed/>
    <w:rsid w:val="00A51483"/>
    <w:rPr>
      <w:color w:val="0000FF"/>
      <w:u w:val="single"/>
    </w:rPr>
  </w:style>
  <w:style w:type="character" w:customStyle="1" w:styleId="team1">
    <w:name w:val="team1"/>
    <w:basedOn w:val="a0"/>
    <w:rsid w:val="003B49B7"/>
  </w:style>
  <w:style w:type="character" w:customStyle="1" w:styleId="apple-style-span">
    <w:name w:val="apple-style-span"/>
    <w:basedOn w:val="a0"/>
    <w:rsid w:val="003B49B7"/>
  </w:style>
  <w:style w:type="paragraph" w:styleId="ae">
    <w:name w:val="List Paragraph"/>
    <w:basedOn w:val="a"/>
    <w:uiPriority w:val="34"/>
    <w:qFormat/>
    <w:rsid w:val="002928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Tangent</dc:creator>
  <cp:lastModifiedBy>JHU</cp:lastModifiedBy>
  <cp:revision>3</cp:revision>
  <cp:lastPrinted>2015-03-26T03:12:00Z</cp:lastPrinted>
  <dcterms:created xsi:type="dcterms:W3CDTF">2015-03-26T03:12:00Z</dcterms:created>
  <dcterms:modified xsi:type="dcterms:W3CDTF">2015-03-26T03:41:00Z</dcterms:modified>
</cp:coreProperties>
</file>